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Секция: Химия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г. Санкт-Петербург, ЛНМО, ГОУ СОШ №286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10-ая Красноармейская, дом 5, лит А, (812) 251-14-40, E-mail: mail@lnmo.ru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Синтез аналога стероидных эстрогенов, содержащего фтор в положении 2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Олеговна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Класс: 10</w:t>
      </w:r>
    </w:p>
    <w:p>
      <w:pPr>
        <w:pStyle w:val="style0"/>
        <w:ind w:firstLine="360" w:left="0" w:right="0"/>
        <w:jc w:val="left"/>
        <w:rPr>
          <w:sz w:val="24"/>
          <w:szCs w:val="24"/>
        </w:rPr>
      </w:pPr>
      <w:r>
        <w:rPr>
          <w:sz w:val="24"/>
          <w:szCs w:val="24"/>
        </w:rPr>
        <w:t>195279, г. Санкт-Петербург, пр. Ударников, дом 24, квартира 1</w:t>
      </w:r>
    </w:p>
    <w:p>
      <w:pPr>
        <w:pStyle w:val="style0"/>
        <w:ind w:firstLine="360" w:left="0" w:right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тел.: (812)520-33-32;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ibatovaluba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>
      <w:pPr>
        <w:pStyle w:val="style0"/>
        <w:ind w:firstLine="360" w:left="0" w:right="0"/>
        <w:jc w:val="left"/>
        <w:rPr/>
      </w:pPr>
      <w:r>
        <w:rPr/>
      </w:r>
    </w:p>
    <w:p>
      <w:pPr>
        <w:pStyle w:val="style0"/>
        <w:spacing w:after="0" w:before="0" w:line="360" w:lineRule="auto"/>
        <w:contextualSpacing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СИНТЕЗ АНАЛОГА СТЕРОИДНЫХ ЭСТРОГЕНОВ, СОДЕРЖАЩЕГО ФТОР В ПОЛОЖЕНИИ 2</w:t>
      </w:r>
    </w:p>
    <w:p>
      <w:pPr>
        <w:pStyle w:val="style0"/>
        <w:spacing w:after="0" w:before="0" w:line="100" w:lineRule="atLeast"/>
        <w:contextualSpacing w:val="false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(Химия)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Ибатова Любовь, СОШ № 286, 10 класс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jc w:val="left"/>
        <w:rPr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Научные руководители: Фидаров Алан Фидарович, асп. 2 курса химического факультета СПбГУ; Богаутдинов Роман Павлович, асп. 1 курса химического факультета СПБГУ</w:t>
      </w:r>
    </w:p>
    <w:p>
      <w:pPr>
        <w:pStyle w:val="style0"/>
        <w:spacing w:after="0" w:before="0" w:line="100" w:lineRule="atLeast"/>
        <w:contextualSpacing w:val="false"/>
        <w:rPr>
          <w:b/>
          <w:color w:val="000000"/>
        </w:rPr>
      </w:pPr>
      <w:r>
        <w:rPr>
          <w:b/>
          <w:color w:val="000000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Половые гормоны являются одними из важнейших низкомолекулярных регуляторов в человеческом организме. </w:t>
      </w:r>
      <w:r>
        <w:rPr>
          <w:rFonts w:cs="Times New Roman"/>
          <w:sz w:val="24"/>
          <w:szCs w:val="24"/>
        </w:rPr>
        <w:t xml:space="preserve">Их влияние распространяется на функциональное состояние всех органов и систем, в том числе и сердечно-сосудистой системы [1]. </w:t>
      </w:r>
      <w:r>
        <w:rPr>
          <w:sz w:val="24"/>
          <w:szCs w:val="24"/>
        </w:rPr>
        <w:t xml:space="preserve">На основе аналогов женских половых гормонов (эстрогенов) создано множество лекарственных препаратов. </w:t>
      </w:r>
      <w:r>
        <w:rPr>
          <w:rFonts w:cs="Times New Roman"/>
          <w:sz w:val="24"/>
          <w:szCs w:val="24"/>
        </w:rPr>
        <w:t xml:space="preserve">Эстрогены используются для лечения половой недостаточности, при климактерических расстройствах, гипертонии, онкологических и других заболеваниях. Однако длительное использование данных препаратов может способствовать развитию гормон-зависимых раковых опухолей [2].  </w:t>
      </w:r>
    </w:p>
    <w:p>
      <w:pPr>
        <w:pStyle w:val="style0"/>
        <w:spacing w:after="0" w:before="0" w:line="100" w:lineRule="atLeast"/>
        <w:contextualSpacing w:val="false"/>
        <w:jc w:val="left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В связи с этим поиск и изучение аналогов эстрогенов, обладающих высокой гормональной активностью и низкой </w:t>
      </w:r>
      <w:r>
        <w:rPr>
          <w:rFonts w:cs="Times New Roman"/>
          <w:sz w:val="24"/>
          <w:szCs w:val="24"/>
        </w:rPr>
        <w:t>канцерогенностью,</w:t>
      </w:r>
      <w:r>
        <w:rPr>
          <w:sz w:val="24"/>
          <w:szCs w:val="24"/>
        </w:rPr>
        <w:t xml:space="preserve"> представляет большой научный и экономический интерес. Целью работы был синтез аналога эстрогена, содержащего фтор в положении 2. </w:t>
      </w:r>
      <w:r>
        <w:rPr>
          <w:rFonts w:cs="Times New Roman"/>
          <w:sz w:val="24"/>
          <w:szCs w:val="24"/>
        </w:rPr>
        <w:t xml:space="preserve">Такие соединения перспективны для создания безопасных лекарственных препаратов, поскольку наличие фтора в ароматическом кольце способно снизить канцерогенность соединения [3]. 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drawing>
            <wp:inline distB="0" distL="0" distR="0" distT="0">
              <wp:extent cx="5915025" cy="1123950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502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B="0" distL="0" distR="0" distT="0">
              <wp:extent cx="5915025" cy="1123950"/>
              <wp:effectExtent b="0" l="0" r="0" t="0"/>
              <wp:docPr descr="" id="0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15025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  <w:t>Схема 1</w:t>
      </w:r>
    </w:p>
    <w:p>
      <w:pPr>
        <w:pStyle w:val="style0"/>
        <w:spacing w:after="0" w:before="0" w:line="100" w:lineRule="atLeast"/>
        <w:contextualSpacing w:val="fals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>На данный момент по схеме Торгова-Ананченко [4] (Схема 1) нами получен искомый аналог.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Соединения с подобной структурой обладают высоким сродством к рецептору эстрогенов. Полученный нами стероид был протестирован на клетках рака молочной железы. При концентрациях близких к физиологическим (1-100 нМ) синтезированное соединение проявляет гормональную активность и не оказывает существенного влияния на пролиферацию клеток рака молочной железы. </w:t>
      </w:r>
    </w:p>
    <w:p>
      <w:pPr>
        <w:pStyle w:val="style0"/>
        <w:spacing w:after="0" w:before="0" w:line="100" w:lineRule="atLeast"/>
        <w:contextualSpacing w:val="false"/>
        <w:jc w:val="left"/>
        <w:rPr/>
      </w:pPr>
      <w:r>
        <w:rPr/>
      </w:r>
    </w:p>
    <w:p>
      <w:pPr>
        <w:pStyle w:val="style0"/>
        <w:spacing w:after="0" w:before="0" w:line="100" w:lineRule="atLeast"/>
        <w:ind w:hanging="284" w:left="0" w:right="-284"/>
        <w:contextualSpacing w:val="false"/>
        <w:rPr>
          <w:pict>
            <v:shape id="shape_0" style="position:absolute;margin-left:0pt;margin-top:0pt;width:232.45pt;height:166.45pt" type="shapetype_75">
              <v:fill detectmouseclick="t" r:id="rId4"/>
              <v:wrap v:type="none"/>
              <v:stroke color="#3465af" endcap="flat" joinstyle="round"/>
            </v:shape>
          </w:pict>
        </w:rPr>
      </w:pPr>
      <w:r>
        <w:rPr>
          <w:pict>
            <v:shapetype id="shapetype_75" coordsize="21600,21600" o:spt="75" adj="2700" path="m,l21600,l21600,21600l,21600xm@0@0l@0@2l@1@2l@1@0xe">
              <v:stroke joinstyle="miter"/>
              <v:formulas>
                <v:f eqn="val #0"/>
                <v:f eqn="sum width 0 @0"/>
                <v:f eqn="sum height 0 @0"/>
              </v:formulas>
              <v:path gradientshapeok="t" o:connecttype="rect" textboxrect="@0,@0,@1,@2"/>
              <v:handles>
                <v:h position="@0,0"/>
              </v:handles>
            </v:shapetype>
            <v:shape id="shape_0" style="position:absolute;margin-left:0pt;margin-top:0pt;width:252.7pt;height:170.2pt" type="shapetype_75">
              <v:fill detectmouseclick="t" r:id="rId3"/>
              <v:wrap v:type="none"/>
              <v:stroke color="#3465af" endcap="flat" joinstyle="round"/>
            </v:shape>
          </w:pict>
        </w:rPr>
      </w:r>
      <w:r>
        <w:rPr>
          <w:pict>
            <v:shape id="shape_0" style="position:absolute;margin-left:0pt;margin-top:0pt;width:232.45pt;height:166.45pt" type="shapetype_75">
              <v:fill detectmouseclick="t" r:id="rId4"/>
              <v:wrap v:type="none"/>
              <v:stroke color="#3465af" endcap="flat" joinstyle="round"/>
            </v:shape>
          </w:pict>
        </w:rPr>
      </w:r>
    </w:p>
    <w:p>
      <w:pPr>
        <w:pStyle w:val="style0"/>
        <w:spacing w:after="0" w:before="0" w:line="100" w:lineRule="atLeast"/>
        <w:ind w:hanging="0" w:left="0" w:right="0"/>
        <w:contextualSpacing w:val="false"/>
        <w:rPr>
          <w:i/>
        </w:rPr>
      </w:pPr>
      <w:r>
        <w:rPr/>
        <w:t xml:space="preserve">Рис. 1. </w:t>
      </w:r>
      <w:r>
        <w:rPr>
          <w:i/>
        </w:rPr>
        <w:t xml:space="preserve">Тест на </w:t>
        <w:tab/>
        <w:tab/>
        <w:tab/>
        <w:tab/>
        <w:tab/>
      </w:r>
      <w:r>
        <w:rPr/>
        <w:t>Рис. 2</w:t>
      </w:r>
      <w:r>
        <w:rPr>
          <w:i/>
        </w:rPr>
        <w:t xml:space="preserve">. Тест на пролиферативную </w:t>
      </w:r>
    </w:p>
    <w:p>
      <w:pPr>
        <w:pStyle w:val="style0"/>
        <w:spacing w:after="0" w:before="0" w:line="100" w:lineRule="atLeast"/>
        <w:ind w:hanging="0" w:left="0" w:right="0"/>
        <w:contextualSpacing w:val="false"/>
        <w:rPr>
          <w:i/>
        </w:rPr>
      </w:pPr>
      <w:r>
        <w:rPr>
          <w:i/>
        </w:rPr>
        <w:t xml:space="preserve">гормональную активность </w:t>
        <w:tab/>
        <w:tab/>
        <w:tab/>
        <w:tab/>
        <w:t>активность</w:t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>Важно, что в процессе синтеза не использовались дорогостоящие реактивы. Таким образом, хорошие биологические свойства и удобная полная схема синтеза делают полученный аналог перспективным для создания на его основе средств заместительной гормональной терапии.</w:t>
      </w:r>
    </w:p>
    <w:p>
      <w:pPr>
        <w:pStyle w:val="style0"/>
        <w:spacing w:after="0" w:before="0" w:line="100" w:lineRule="atLeast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567" w:left="0" w:right="0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Кобрин, В. И., Порман, Е. Е. Механизмы действия эстрогенов на сердечно-сосудистую систему. </w:t>
      </w:r>
      <w:r>
        <w:rPr>
          <w:i/>
          <w:sz w:val="24"/>
          <w:szCs w:val="24"/>
        </w:rPr>
        <w:t>Вест</w:t>
      </w:r>
      <w:r>
        <w:rPr>
          <w:i/>
          <w:sz w:val="24"/>
          <w:szCs w:val="24"/>
          <w:lang w:val="en-US"/>
        </w:rPr>
        <w:t xml:space="preserve">. </w:t>
      </w:r>
      <w:r>
        <w:rPr>
          <w:i/>
          <w:sz w:val="24"/>
          <w:szCs w:val="24"/>
        </w:rPr>
        <w:t>Аритм</w:t>
      </w:r>
      <w:r>
        <w:rPr>
          <w:i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2000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19</w:t>
      </w:r>
      <w:r>
        <w:rPr>
          <w:sz w:val="24"/>
          <w:szCs w:val="24"/>
        </w:rPr>
        <w:t>, 72-83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567" w:left="0" w:right="0"/>
        <w:contextualSpacing w:val="false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http://www.cancer.org/cancer/cancercauses/othercarcinogens/medicaltreatments/menopausal-hormone-replacement-therapy-and-cancer-risk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firstLine="567" w:left="0" w:right="0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J.G. Liehr. 2-Fluoroestradiol: separation of estrogenicity from carcinogenicity. </w:t>
      </w:r>
      <w:r>
        <w:rPr>
          <w:i/>
          <w:sz w:val="24"/>
          <w:szCs w:val="24"/>
          <w:lang w:val="en-US"/>
        </w:rPr>
        <w:t>Mol. Pharm</w:t>
      </w:r>
      <w:r>
        <w:rPr>
          <w:sz w:val="24"/>
          <w:szCs w:val="24"/>
          <w:lang w:val="en-US"/>
        </w:rPr>
        <w:t xml:space="preserve">., 1982, </w:t>
      </w:r>
      <w:r>
        <w:rPr>
          <w:i/>
          <w:sz w:val="24"/>
          <w:szCs w:val="24"/>
          <w:lang w:val="en-US"/>
        </w:rPr>
        <w:t>23</w:t>
      </w:r>
      <w:r>
        <w:rPr>
          <w:sz w:val="24"/>
          <w:szCs w:val="24"/>
          <w:lang w:val="en-US"/>
        </w:rPr>
        <w:t>, 2</w:t>
      </w:r>
      <w:r>
        <w:rPr>
          <w:sz w:val="24"/>
          <w:szCs w:val="24"/>
        </w:rPr>
        <w:t>78-281.</w:t>
      </w:r>
    </w:p>
    <w:p>
      <w:pPr>
        <w:pStyle w:val="style0"/>
        <w:numPr>
          <w:ilvl w:val="0"/>
          <w:numId w:val="1"/>
        </w:numPr>
        <w:spacing w:after="0" w:before="0" w:line="100" w:lineRule="atLeast"/>
        <w:ind w:hanging="360" w:left="720" w:right="-5"/>
        <w:contextualSpacing w:val="false"/>
        <w:jc w:val="left"/>
        <w:rPr>
          <w:sz w:val="24"/>
          <w:szCs w:val="24"/>
        </w:rPr>
      </w:pPr>
      <w:r>
        <w:rPr>
          <w:sz w:val="24"/>
          <w:szCs w:val="24"/>
        </w:rPr>
        <w:t>А. А. Ахрем, Ю. А. Титов. Полный синтез стероидов. 1967. 144.</w:t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720" w:val="num"/>
        </w:tabs>
        <w:ind w:hanging="360" w:left="720"/>
      </w:pPr>
      <w:rPr/>
    </w:lvl>
    <w:lvl w:ilvl="2">
      <w:start w:val="1"/>
      <w:numFmt w:val="lowerRoman"/>
      <w:lvlText w:val="%3."/>
      <w:lvlJc w:val="right"/>
      <w:pPr>
        <w:tabs>
          <w:tab w:pos="1440" w:val="num"/>
        </w:tabs>
        <w:ind w:hanging="180" w:left="1440"/>
      </w:pPr>
      <w:rPr/>
    </w:lvl>
    <w:lvl w:ilvl="3">
      <w:start w:val="1"/>
      <w:numFmt w:val="decimal"/>
      <w:lvlText w:val="%4."/>
      <w:lvlJc w:val="left"/>
      <w:pPr>
        <w:tabs>
          <w:tab w:pos="2160" w:val="num"/>
        </w:tabs>
        <w:ind w:hanging="360" w:left="2160"/>
      </w:pPr>
      <w:rPr/>
    </w:lvl>
    <w:lvl w:ilvl="4">
      <w:start w:val="1"/>
      <w:numFmt w:val="lowerLetter"/>
      <w:lvlText w:val="%5."/>
      <w:lvlJc w:val="left"/>
      <w:pPr>
        <w:tabs>
          <w:tab w:pos="2880" w:val="num"/>
        </w:tabs>
        <w:ind w:hanging="360" w:left="2880"/>
      </w:pPr>
      <w:rPr/>
    </w:lvl>
    <w:lvl w:ilvl="5">
      <w:start w:val="1"/>
      <w:numFmt w:val="lowerRoman"/>
      <w:lvlText w:val="%6."/>
      <w:lvlJc w:val="right"/>
      <w:pPr>
        <w:tabs>
          <w:tab w:pos="3600" w:val="num"/>
        </w:tabs>
        <w:ind w:hanging="180" w:left="3600"/>
      </w:pPr>
      <w:rPr/>
    </w:lvl>
    <w:lvl w:ilvl="6">
      <w:start w:val="1"/>
      <w:numFmt w:val="decimal"/>
      <w:lvlText w:val="%7."/>
      <w:lvlJc w:val="left"/>
      <w:pPr>
        <w:tabs>
          <w:tab w:pos="4320" w:val="num"/>
        </w:tabs>
        <w:ind w:hanging="360" w:left="4320"/>
      </w:pPr>
      <w:rPr/>
    </w:lvl>
    <w:lvl w:ilvl="7">
      <w:start w:val="1"/>
      <w:numFmt w:val="lowerLetter"/>
      <w:lvlText w:val="%8."/>
      <w:lvlJc w:val="left"/>
      <w:pPr>
        <w:tabs>
          <w:tab w:pos="5040" w:val="num"/>
        </w:tabs>
        <w:ind w:hanging="360" w:left="5040"/>
      </w:pPr>
      <w:rPr/>
    </w:lvl>
    <w:lvl w:ilvl="8">
      <w:start w:val="1"/>
      <w:numFmt w:val="lowerRoman"/>
      <w:lvlText w:val="%9."/>
      <w:lvlJc w:val="right"/>
      <w:pPr>
        <w:tabs>
          <w:tab w:pos="5760" w:val="num"/>
        </w:tabs>
        <w:ind w:hanging="180" w:left="57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ind w:firstLine="567" w:left="0" w:right="0"/>
      <w:contextualSpacing w:val="false"/>
      <w:jc w:val="both"/>
    </w:pPr>
    <w:rPr>
      <w:rFonts w:ascii="Times New Roman" w:cs="Calibri" w:eastAsia="Times New Roman" w:hAnsi="Times New Roman"/>
      <w:color w:val="auto"/>
      <w:sz w:val="28"/>
      <w:szCs w:val="28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Times New Roman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"/><Relationship Id="rId4" Type="http://schemas.openxmlformats.org/officeDocument/2006/relationships/image" Target="media/image3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2013-01-19T14:53:00Z</dcterms:created>
  <dc:creator>luba</dc:creator>
  <cp:lastModifiedBy>luba</cp:lastModifiedBy>
  <dcterms:modified xsi:type="dcterms:W3CDTF">2013-01-19T14:53:00Z</dcterms:modified>
  <cp:revision>2</cp:revision>
  <dc:title>Секция: Химия</dc:title>
</cp:coreProperties>
</file>